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CD4" w14:textId="7AC186D7" w:rsidR="00A61343" w:rsidRDefault="00B017A9" w:rsidP="00B017A9">
      <w:pPr>
        <w:spacing w:before="100" w:beforeAutospacing="1" w:after="120"/>
        <w:jc w:val="both"/>
        <w:rPr>
          <w:rFonts w:ascii="Arial Narrow" w:hAnsi="Arial Narrow"/>
        </w:rPr>
      </w:pPr>
      <w:r w:rsidRPr="00B017A9">
        <w:rPr>
          <w:rFonts w:ascii="Arial Narrow" w:hAnsi="Arial Narrow"/>
        </w:rPr>
        <w:t>De conformidad con lo previsto en el artículo 228 de la Ley 6/2023, de 17 de marzo, de los Mercados de Valores y de los Servicios de Inversión, así como en la Circular 3/2020 del segmento BME Growth de BME MTF Equity (“</w:t>
      </w:r>
      <w:r w:rsidRPr="00B017A9">
        <w:rPr>
          <w:rFonts w:ascii="Arial Narrow" w:hAnsi="Arial Narrow"/>
          <w:b/>
          <w:bCs/>
        </w:rPr>
        <w:t>BME Growth</w:t>
      </w:r>
      <w:r w:rsidRPr="00B017A9">
        <w:rPr>
          <w:rFonts w:ascii="Arial Narrow" w:hAnsi="Arial Narrow"/>
        </w:rPr>
        <w:t>”), y disposiciones concordantes, IBI Lion SOCIMI, S.A. (la “</w:t>
      </w:r>
      <w:r w:rsidRPr="00B017A9">
        <w:rPr>
          <w:rFonts w:ascii="Arial Narrow" w:hAnsi="Arial Narrow"/>
          <w:b/>
          <w:bCs/>
        </w:rPr>
        <w:t>Sociedad</w:t>
      </w:r>
      <w:r w:rsidRPr="00B017A9">
        <w:rPr>
          <w:rFonts w:ascii="Arial Narrow" w:hAnsi="Arial Narrow"/>
        </w:rPr>
        <w:t>”) comunica la siguiente</w:t>
      </w:r>
    </w:p>
    <w:p w14:paraId="1E346582" w14:textId="6570E71F" w:rsidR="00B017A9" w:rsidRPr="00B017A9" w:rsidRDefault="00B017A9" w:rsidP="00B017A9">
      <w:pPr>
        <w:spacing w:before="100" w:beforeAutospacing="1" w:after="120"/>
        <w:jc w:val="center"/>
        <w:rPr>
          <w:rFonts w:ascii="Arial Narrow" w:hAnsi="Arial Narrow"/>
          <w:b/>
          <w:bCs/>
        </w:rPr>
      </w:pPr>
      <w:r w:rsidRPr="00B017A9">
        <w:rPr>
          <w:rFonts w:ascii="Arial Narrow" w:hAnsi="Arial Narrow"/>
          <w:b/>
          <w:bCs/>
        </w:rPr>
        <w:t>OTRA INFORMACIÓN RELEVANTE</w:t>
      </w:r>
    </w:p>
    <w:p w14:paraId="66DFE64A" w14:textId="351B0309" w:rsidR="00B017A9" w:rsidRDefault="00B017A9" w:rsidP="00B017A9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Sociedad informa de que la valoración de sus activos inmobiliarios a 31 de diciembre de 2025 ha sido realizada </w:t>
      </w:r>
      <w:r w:rsidRPr="00B017A9">
        <w:rPr>
          <w:rFonts w:ascii="Arial Narrow" w:hAnsi="Arial Narrow"/>
        </w:rPr>
        <w:t>or Savills Valoraciones y Tasaciones, S.A.U.</w:t>
      </w:r>
      <w:r>
        <w:rPr>
          <w:rFonts w:ascii="Arial Narrow" w:hAnsi="Arial Narrow"/>
        </w:rPr>
        <w:t xml:space="preserve"> </w:t>
      </w:r>
      <w:r w:rsidRPr="00B017A9">
        <w:rPr>
          <w:rFonts w:ascii="Arial Narrow" w:hAnsi="Arial Narrow"/>
        </w:rPr>
        <w:t>siguiendo los estándares profesionales de valoración de la RICS (</w:t>
      </w:r>
      <w:r w:rsidRPr="00B017A9">
        <w:rPr>
          <w:rFonts w:ascii="Arial Narrow" w:hAnsi="Arial Narrow"/>
          <w:i/>
          <w:iCs/>
        </w:rPr>
        <w:t>Royal Institution of Chartered Surveyors</w:t>
      </w:r>
      <w:r w:rsidRPr="00B017A9">
        <w:rPr>
          <w:rFonts w:ascii="Arial Narrow" w:hAnsi="Arial Narrow"/>
        </w:rPr>
        <w:t>). El valor de mercado resultante de dicha valoración asciende a aproximadamente</w:t>
      </w:r>
      <w:r>
        <w:rPr>
          <w:rFonts w:ascii="Arial Narrow" w:hAnsi="Arial Narrow"/>
        </w:rPr>
        <w:t xml:space="preserve"> </w:t>
      </w:r>
      <w:r w:rsidR="008921EB">
        <w:rPr>
          <w:rFonts w:ascii="Arial Narrow" w:hAnsi="Arial Narrow"/>
        </w:rPr>
        <w:t>131</w:t>
      </w:r>
      <w:r w:rsidR="00DC3C2B">
        <w:rPr>
          <w:rFonts w:ascii="Arial Narrow" w:hAnsi="Arial Narrow"/>
        </w:rPr>
        <w:t xml:space="preserve"> millones de euros</w:t>
      </w:r>
      <w:r>
        <w:rPr>
          <w:rFonts w:ascii="Arial Narrow" w:hAnsi="Arial Narrow"/>
        </w:rPr>
        <w:t xml:space="preserve">. </w:t>
      </w:r>
    </w:p>
    <w:p w14:paraId="36EF47BA" w14:textId="610B31C2" w:rsidR="00B017A9" w:rsidRDefault="00B017A9" w:rsidP="00B017A9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efectos aclaratorios se indica que para la valoración anterior no se ha tenido en cuenta la adquisición de </w:t>
      </w:r>
      <w:r w:rsidR="008921EB">
        <w:rPr>
          <w:rFonts w:ascii="Arial Narrow" w:hAnsi="Arial Narrow"/>
        </w:rPr>
        <w:t>un activo destinado a uso comercial de supermercado ubicado en Gijón</w:t>
      </w:r>
      <w:r>
        <w:rPr>
          <w:rFonts w:ascii="Arial Narrow" w:hAnsi="Arial Narrow"/>
        </w:rPr>
        <w:t xml:space="preserve"> el día </w:t>
      </w:r>
      <w:r w:rsidR="008921EB">
        <w:rPr>
          <w:rFonts w:ascii="Arial Narrow" w:hAnsi="Arial Narrow"/>
        </w:rPr>
        <w:t>19 de febrero de 2026</w:t>
      </w:r>
      <w:r>
        <w:rPr>
          <w:rFonts w:ascii="Arial Narrow" w:hAnsi="Arial Narrow"/>
        </w:rPr>
        <w:t xml:space="preserve">, de la que se informó por medio de la publicación de la correspondiente comunicación de otra información relevante de fecha </w:t>
      </w:r>
      <w:r w:rsidR="008921EB">
        <w:rPr>
          <w:rFonts w:ascii="Arial Narrow" w:hAnsi="Arial Narrow"/>
        </w:rPr>
        <w:t>20 de febrero de 2026</w:t>
      </w:r>
      <w:r>
        <w:rPr>
          <w:rFonts w:ascii="Arial Narrow" w:hAnsi="Arial Narrow"/>
        </w:rPr>
        <w:t xml:space="preserve">. </w:t>
      </w:r>
    </w:p>
    <w:p w14:paraId="2ADFCE22" w14:textId="77777777" w:rsidR="00B017A9" w:rsidRDefault="00B017A9" w:rsidP="00B017A9">
      <w:pPr>
        <w:spacing w:before="100" w:beforeAutospacing="1" w:after="120"/>
        <w:jc w:val="both"/>
        <w:rPr>
          <w:rFonts w:ascii="Arial Narrow" w:hAnsi="Arial Narrow"/>
        </w:rPr>
      </w:pPr>
      <w:r w:rsidRPr="00B017A9">
        <w:rPr>
          <w:rFonts w:ascii="Arial Narrow" w:hAnsi="Arial Narrow"/>
        </w:rPr>
        <w:t xml:space="preserve">De conformidad con lo dispuesto en la Circular 3/2020 de BME Growth, se hace constar que la información comunicada por la presente ha sido elaborada bajo la exclusiva responsabilidad de la Sociedad y sus administradores. </w:t>
      </w:r>
    </w:p>
    <w:p w14:paraId="3245CC9F" w14:textId="3C84AF4E" w:rsidR="00B017A9" w:rsidRDefault="00B017A9" w:rsidP="00B017A9">
      <w:pPr>
        <w:spacing w:before="100" w:beforeAutospacing="1" w:after="120"/>
        <w:jc w:val="right"/>
        <w:rPr>
          <w:rFonts w:ascii="Arial Narrow" w:hAnsi="Arial Narrow"/>
        </w:rPr>
      </w:pPr>
      <w:r w:rsidRPr="00B017A9">
        <w:rPr>
          <w:rFonts w:ascii="Arial Narrow" w:hAnsi="Arial Narrow"/>
        </w:rPr>
        <w:t xml:space="preserve">En Madrid, a </w:t>
      </w:r>
      <w:r w:rsidR="00DC3C2B">
        <w:rPr>
          <w:rFonts w:ascii="Arial Narrow" w:hAnsi="Arial Narrow"/>
        </w:rPr>
        <w:t>30</w:t>
      </w:r>
      <w:r w:rsidRPr="00B017A9">
        <w:rPr>
          <w:rFonts w:ascii="Arial Narrow" w:hAnsi="Arial Narrow"/>
        </w:rPr>
        <w:t xml:space="preserve"> de abril de</w:t>
      </w:r>
      <w:r>
        <w:rPr>
          <w:rFonts w:ascii="Arial Narrow" w:hAnsi="Arial Narrow"/>
        </w:rPr>
        <w:t xml:space="preserve"> 2026</w:t>
      </w:r>
    </w:p>
    <w:p w14:paraId="092D0FFC" w14:textId="54F6AB16" w:rsidR="00B017A9" w:rsidRDefault="00B017A9" w:rsidP="00B017A9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D. Rafael Goldfeld</w:t>
      </w:r>
    </w:p>
    <w:p w14:paraId="3B14C0D4" w14:textId="5ED9F151" w:rsidR="00B017A9" w:rsidRDefault="00B017A9" w:rsidP="00B017A9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Secretario Consejero del Consejo de Administración </w:t>
      </w:r>
    </w:p>
    <w:p w14:paraId="5B61BABB" w14:textId="79307107" w:rsidR="00B017A9" w:rsidRDefault="00B017A9" w:rsidP="00B017A9">
      <w:pPr>
        <w:jc w:val="both"/>
        <w:rPr>
          <w:rFonts w:ascii="Arial Narrow" w:hAnsi="Arial Narrow"/>
        </w:rPr>
      </w:pPr>
    </w:p>
    <w:p w14:paraId="526D0DD5" w14:textId="77777777" w:rsidR="00B017A9" w:rsidRDefault="00B017A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AB40116" w14:textId="77777777" w:rsidR="00B017A9" w:rsidRDefault="00B017A9" w:rsidP="00B017A9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 w:rsidRPr="00B017A9">
        <w:rPr>
          <w:rFonts w:ascii="Arial Narrow" w:hAnsi="Arial Narrow"/>
          <w:lang w:val="en-US"/>
        </w:rPr>
        <w:lastRenderedPageBreak/>
        <w:t>In accordance with the provisions of article 228 of Law 6/2023, of March 17, on the Securities Market and Investment Services and Circular 3/2020 of the BME Growth trading segment of BME MTF Equity (“</w:t>
      </w:r>
      <w:r w:rsidRPr="00B017A9">
        <w:rPr>
          <w:rFonts w:ascii="Arial Narrow" w:hAnsi="Arial Narrow"/>
          <w:b/>
          <w:bCs/>
          <w:lang w:val="en-US"/>
        </w:rPr>
        <w:t>BME</w:t>
      </w:r>
      <w:r w:rsidRPr="00B017A9">
        <w:rPr>
          <w:rFonts w:ascii="Arial Narrow" w:hAnsi="Arial Narrow"/>
          <w:lang w:val="en-US"/>
        </w:rPr>
        <w:t xml:space="preserve"> </w:t>
      </w:r>
      <w:r w:rsidRPr="00B017A9">
        <w:rPr>
          <w:rFonts w:ascii="Arial Narrow" w:hAnsi="Arial Narrow"/>
          <w:b/>
          <w:bCs/>
          <w:lang w:val="en-US"/>
        </w:rPr>
        <w:t>Growth</w:t>
      </w:r>
      <w:r w:rsidRPr="00B017A9">
        <w:rPr>
          <w:rFonts w:ascii="Arial Narrow" w:hAnsi="Arial Narrow"/>
          <w:lang w:val="en-US"/>
        </w:rPr>
        <w:t>”), and ancillary regulations, IBI Lion SOCIMI, S.A. (the “</w:t>
      </w:r>
      <w:r w:rsidRPr="00B017A9">
        <w:rPr>
          <w:rFonts w:ascii="Arial Narrow" w:hAnsi="Arial Narrow"/>
          <w:b/>
          <w:bCs/>
          <w:lang w:val="en-US"/>
        </w:rPr>
        <w:t>Company</w:t>
      </w:r>
      <w:r w:rsidRPr="00B017A9">
        <w:rPr>
          <w:rFonts w:ascii="Arial Narrow" w:hAnsi="Arial Narrow"/>
          <w:lang w:val="en-US"/>
        </w:rPr>
        <w:t xml:space="preserve">”) hereby informs of the following </w:t>
      </w:r>
    </w:p>
    <w:p w14:paraId="2FB9C124" w14:textId="77777777" w:rsidR="00B017A9" w:rsidRPr="00B017A9" w:rsidRDefault="00B017A9" w:rsidP="00B017A9">
      <w:pPr>
        <w:spacing w:before="100" w:beforeAutospacing="1" w:after="120"/>
        <w:jc w:val="center"/>
        <w:rPr>
          <w:rFonts w:ascii="Arial Narrow" w:hAnsi="Arial Narrow"/>
          <w:b/>
          <w:bCs/>
          <w:lang w:val="en-US"/>
        </w:rPr>
      </w:pPr>
      <w:r w:rsidRPr="00B017A9">
        <w:rPr>
          <w:rFonts w:ascii="Arial Narrow" w:hAnsi="Arial Narrow"/>
          <w:b/>
          <w:bCs/>
          <w:lang w:val="en-US"/>
        </w:rPr>
        <w:t>OTHER RELEVANT INFORMATION</w:t>
      </w:r>
    </w:p>
    <w:p w14:paraId="273B32D0" w14:textId="52531B26" w:rsidR="00B017A9" w:rsidRDefault="00B017A9" w:rsidP="00B017A9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 w:rsidRPr="00B017A9">
        <w:rPr>
          <w:rFonts w:ascii="Arial Narrow" w:hAnsi="Arial Narrow"/>
          <w:lang w:val="en-US"/>
        </w:rPr>
        <w:t>The Company informs that the valuation of its real estate assets as at 31 December 202</w:t>
      </w:r>
      <w:r>
        <w:rPr>
          <w:rFonts w:ascii="Arial Narrow" w:hAnsi="Arial Narrow"/>
          <w:lang w:val="en-US"/>
        </w:rPr>
        <w:t>5</w:t>
      </w:r>
      <w:r w:rsidRPr="00B017A9">
        <w:rPr>
          <w:rFonts w:ascii="Arial Narrow" w:hAnsi="Arial Narrow"/>
          <w:lang w:val="en-US"/>
        </w:rPr>
        <w:t xml:space="preserve"> has been carried out by Savills Valoraciones y Tasaciones, S.A.U. according to the professional valuation standards of the Royal Institution of Chartered Surveyors (RICS). The market value resulting from this valuation amounts to approximately </w:t>
      </w:r>
      <w:r w:rsidR="00DC3C2B">
        <w:rPr>
          <w:rFonts w:ascii="Arial Narrow" w:hAnsi="Arial Narrow"/>
          <w:lang w:val="en-US"/>
        </w:rPr>
        <w:t>131 million euros</w:t>
      </w:r>
      <w:r w:rsidRPr="00B017A9">
        <w:rPr>
          <w:rFonts w:ascii="Arial Narrow" w:hAnsi="Arial Narrow"/>
          <w:lang w:val="en-US"/>
        </w:rPr>
        <w:t xml:space="preserve">. </w:t>
      </w:r>
    </w:p>
    <w:p w14:paraId="3CC32300" w14:textId="097584DE" w:rsidR="00B017A9" w:rsidRDefault="00B017A9" w:rsidP="00B017A9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 w:rsidRPr="00B017A9">
        <w:rPr>
          <w:rFonts w:ascii="Arial Narrow" w:hAnsi="Arial Narrow"/>
          <w:lang w:val="en-US"/>
        </w:rPr>
        <w:t xml:space="preserve">To provide clarification, it is noted that the valuation previously mentioned did not consider the acquisition of </w:t>
      </w:r>
      <w:r w:rsidR="008921EB">
        <w:rPr>
          <w:rFonts w:ascii="Arial Narrow" w:hAnsi="Arial Narrow"/>
          <w:lang w:val="en-US"/>
        </w:rPr>
        <w:t>an asset intended for commercial use as a supermarket located at Gijón</w:t>
      </w:r>
      <w:r w:rsidRPr="00B017A9">
        <w:rPr>
          <w:rFonts w:ascii="Arial Narrow" w:hAnsi="Arial Narrow"/>
          <w:lang w:val="en-US"/>
        </w:rPr>
        <w:t xml:space="preserve"> on </w:t>
      </w:r>
      <w:r w:rsidR="008921EB">
        <w:rPr>
          <w:rFonts w:ascii="Arial Narrow" w:hAnsi="Arial Narrow"/>
          <w:lang w:val="en-US"/>
        </w:rPr>
        <w:t>19 February 2026</w:t>
      </w:r>
      <w:r w:rsidRPr="00B017A9">
        <w:rPr>
          <w:rFonts w:ascii="Arial Narrow" w:hAnsi="Arial Narrow"/>
          <w:lang w:val="en-US"/>
        </w:rPr>
        <w:t xml:space="preserve">, which was appropriately reported through the publication of the corresponding other relevant information notice on </w:t>
      </w:r>
      <w:r w:rsidR="008921EB">
        <w:rPr>
          <w:rFonts w:ascii="Arial Narrow" w:hAnsi="Arial Narrow"/>
          <w:lang w:val="en-US"/>
        </w:rPr>
        <w:t xml:space="preserve">20 February 2026. </w:t>
      </w:r>
    </w:p>
    <w:p w14:paraId="3874F038" w14:textId="06351068" w:rsidR="00B017A9" w:rsidRDefault="00B017A9" w:rsidP="00B017A9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 w:rsidRPr="00B017A9">
        <w:rPr>
          <w:rFonts w:ascii="Arial Narrow" w:hAnsi="Arial Narrow"/>
          <w:lang w:val="en-US"/>
        </w:rPr>
        <w:t>Pursuant to the provisions of Circular 3/2020 of BME Growth, it is hereby stated that the information provided herein has been prepared under the sole responsibility of the Company and its directors.</w:t>
      </w:r>
    </w:p>
    <w:p w14:paraId="07FCD7AA" w14:textId="2B94E542" w:rsidR="00B017A9" w:rsidRDefault="00B017A9" w:rsidP="00B017A9">
      <w:pPr>
        <w:spacing w:before="100" w:beforeAutospacing="1" w:after="120"/>
        <w:jc w:val="righ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In Madrid, on </w:t>
      </w:r>
      <w:r w:rsidR="00DC3C2B">
        <w:rPr>
          <w:rFonts w:ascii="Arial Narrow" w:hAnsi="Arial Narrow"/>
          <w:lang w:val="en-US"/>
        </w:rPr>
        <w:t xml:space="preserve">30 </w:t>
      </w:r>
      <w:r>
        <w:rPr>
          <w:rFonts w:ascii="Arial Narrow" w:hAnsi="Arial Narrow"/>
          <w:lang w:val="en-US"/>
        </w:rPr>
        <w:t>April 2026</w:t>
      </w:r>
    </w:p>
    <w:p w14:paraId="19CA0EEE" w14:textId="49D0BB78" w:rsidR="00B017A9" w:rsidRDefault="00B017A9" w:rsidP="00B017A9">
      <w:pPr>
        <w:spacing w:after="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Mr. Rafael Goldfeld</w:t>
      </w:r>
    </w:p>
    <w:p w14:paraId="1A73C3EF" w14:textId="39950F32" w:rsidR="00B017A9" w:rsidRPr="00B017A9" w:rsidRDefault="00B017A9" w:rsidP="00B017A9">
      <w:pPr>
        <w:spacing w:after="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Secretary and member of the Board of Directors</w:t>
      </w:r>
    </w:p>
    <w:sectPr w:rsidR="00B017A9" w:rsidRPr="00B017A9" w:rsidSect="00B017A9">
      <w:headerReference w:type="default" r:id="rId6"/>
      <w:pgSz w:w="11906" w:h="16838"/>
      <w:pgMar w:top="26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00A3" w14:textId="77777777" w:rsidR="007A75CA" w:rsidRDefault="007A75CA" w:rsidP="00B017A9">
      <w:pPr>
        <w:spacing w:after="0" w:line="240" w:lineRule="auto"/>
      </w:pPr>
      <w:r>
        <w:separator/>
      </w:r>
    </w:p>
  </w:endnote>
  <w:endnote w:type="continuationSeparator" w:id="0">
    <w:p w14:paraId="7469A63C" w14:textId="77777777" w:rsidR="007A75CA" w:rsidRDefault="007A75CA" w:rsidP="00B0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757D" w14:textId="77777777" w:rsidR="007A75CA" w:rsidRDefault="007A75CA" w:rsidP="00B017A9">
      <w:pPr>
        <w:spacing w:after="0" w:line="240" w:lineRule="auto"/>
      </w:pPr>
      <w:r>
        <w:separator/>
      </w:r>
    </w:p>
  </w:footnote>
  <w:footnote w:type="continuationSeparator" w:id="0">
    <w:p w14:paraId="52965641" w14:textId="77777777" w:rsidR="007A75CA" w:rsidRDefault="007A75CA" w:rsidP="00B0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9992" w14:textId="08F01F47" w:rsidR="00B017A9" w:rsidRDefault="00B017A9">
    <w:pPr>
      <w:pStyle w:val="Header"/>
    </w:pPr>
    <w:r w:rsidRPr="00B017A9">
      <w:rPr>
        <w:noProof/>
      </w:rPr>
      <w:drawing>
        <wp:anchor distT="0" distB="0" distL="114300" distR="114300" simplePos="0" relativeHeight="251658240" behindDoc="0" locked="0" layoutInCell="1" allowOverlap="1" wp14:anchorId="7EECA521" wp14:editId="224E65BB">
          <wp:simplePos x="0" y="0"/>
          <wp:positionH relativeFrom="margin">
            <wp:align>center</wp:align>
          </wp:positionH>
          <wp:positionV relativeFrom="paragraph">
            <wp:posOffset>-194911</wp:posOffset>
          </wp:positionV>
          <wp:extent cx="1669415" cy="1019810"/>
          <wp:effectExtent l="0" t="0" r="6985" b="8890"/>
          <wp:wrapSquare wrapText="bothSides"/>
          <wp:docPr id="1175361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9705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15" cy="101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A9"/>
    <w:rsid w:val="00010ECB"/>
    <w:rsid w:val="00022616"/>
    <w:rsid w:val="0004208B"/>
    <w:rsid w:val="000C4EAF"/>
    <w:rsid w:val="000F2121"/>
    <w:rsid w:val="001238BA"/>
    <w:rsid w:val="001464C0"/>
    <w:rsid w:val="00154542"/>
    <w:rsid w:val="001B25E8"/>
    <w:rsid w:val="001D091A"/>
    <w:rsid w:val="001D333C"/>
    <w:rsid w:val="001E7913"/>
    <w:rsid w:val="001F6B67"/>
    <w:rsid w:val="002A03DF"/>
    <w:rsid w:val="002E01B0"/>
    <w:rsid w:val="002E7836"/>
    <w:rsid w:val="00304D2B"/>
    <w:rsid w:val="0033322A"/>
    <w:rsid w:val="00340017"/>
    <w:rsid w:val="00397C91"/>
    <w:rsid w:val="003A28D2"/>
    <w:rsid w:val="003A6DD1"/>
    <w:rsid w:val="003C6E9B"/>
    <w:rsid w:val="00424F69"/>
    <w:rsid w:val="00471000"/>
    <w:rsid w:val="004D0440"/>
    <w:rsid w:val="004F7A0A"/>
    <w:rsid w:val="00514DAB"/>
    <w:rsid w:val="00570793"/>
    <w:rsid w:val="0058048B"/>
    <w:rsid w:val="00593477"/>
    <w:rsid w:val="005F01B0"/>
    <w:rsid w:val="006703A1"/>
    <w:rsid w:val="0067667A"/>
    <w:rsid w:val="00684192"/>
    <w:rsid w:val="00687D3B"/>
    <w:rsid w:val="006974A6"/>
    <w:rsid w:val="006C32AA"/>
    <w:rsid w:val="006D141E"/>
    <w:rsid w:val="007024C6"/>
    <w:rsid w:val="00716366"/>
    <w:rsid w:val="00766734"/>
    <w:rsid w:val="00782362"/>
    <w:rsid w:val="007A75CA"/>
    <w:rsid w:val="007D4BD5"/>
    <w:rsid w:val="0088626F"/>
    <w:rsid w:val="008921EB"/>
    <w:rsid w:val="008D56D8"/>
    <w:rsid w:val="008E4E94"/>
    <w:rsid w:val="008F758F"/>
    <w:rsid w:val="00902388"/>
    <w:rsid w:val="0091073E"/>
    <w:rsid w:val="00911275"/>
    <w:rsid w:val="0099101B"/>
    <w:rsid w:val="009A5412"/>
    <w:rsid w:val="009F23D3"/>
    <w:rsid w:val="00A14174"/>
    <w:rsid w:val="00A25CDA"/>
    <w:rsid w:val="00A61343"/>
    <w:rsid w:val="00AB3503"/>
    <w:rsid w:val="00AE0C5A"/>
    <w:rsid w:val="00B017A9"/>
    <w:rsid w:val="00B1613F"/>
    <w:rsid w:val="00B3691D"/>
    <w:rsid w:val="00B7196A"/>
    <w:rsid w:val="00B77292"/>
    <w:rsid w:val="00BB2F15"/>
    <w:rsid w:val="00BE6F06"/>
    <w:rsid w:val="00C06458"/>
    <w:rsid w:val="00C362BE"/>
    <w:rsid w:val="00C40D00"/>
    <w:rsid w:val="00C80A56"/>
    <w:rsid w:val="00C83670"/>
    <w:rsid w:val="00CF3F2A"/>
    <w:rsid w:val="00D02DE8"/>
    <w:rsid w:val="00D06B2D"/>
    <w:rsid w:val="00D128A7"/>
    <w:rsid w:val="00D94FEC"/>
    <w:rsid w:val="00DB5FB5"/>
    <w:rsid w:val="00DC3C2B"/>
    <w:rsid w:val="00DD5B76"/>
    <w:rsid w:val="00DE3CBC"/>
    <w:rsid w:val="00E66DCC"/>
    <w:rsid w:val="00E87849"/>
    <w:rsid w:val="00EC1EE9"/>
    <w:rsid w:val="00ED067F"/>
    <w:rsid w:val="00F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242C4"/>
  <w15:chartTrackingRefBased/>
  <w15:docId w15:val="{14AE8BF7-F34A-4FDF-819A-82AA1D16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7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A9"/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436</Words>
  <Characters>2293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KPMG</cp:lastModifiedBy>
  <cp:revision>3</cp:revision>
  <dcterms:created xsi:type="dcterms:W3CDTF">2026-04-30T09:54:00Z</dcterms:created>
  <dcterms:modified xsi:type="dcterms:W3CDTF">2026-04-30T10:40:00Z</dcterms:modified>
</cp:coreProperties>
</file>