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4F30" w14:textId="44735687" w:rsidR="00945324" w:rsidRPr="005309E6" w:rsidRDefault="00945324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309E6">
        <w:rPr>
          <w:rFonts w:ascii="Arial Narrow" w:hAnsi="Arial Narrow"/>
          <w:sz w:val="24"/>
          <w:szCs w:val="24"/>
        </w:rPr>
        <w:t xml:space="preserve">De conformidad con lo previsto en el artículo 228 de la Ley 6/2023, de 17 de marzo, de los Mercados de Valores y de los Servicios de Inversión, así como en la Circular 3/2020 del segmento BME Growth de BME MTF Equity </w:t>
      </w:r>
      <w:r w:rsidRPr="005309E6">
        <w:rPr>
          <w:rFonts w:ascii="Arial Narrow" w:hAnsi="Arial Narrow"/>
          <w:b/>
          <w:bCs/>
          <w:sz w:val="24"/>
          <w:szCs w:val="24"/>
        </w:rPr>
        <w:t>(“BME Growth</w:t>
      </w:r>
      <w:r w:rsidRPr="005309E6">
        <w:rPr>
          <w:rFonts w:ascii="Arial Narrow" w:hAnsi="Arial Narrow"/>
          <w:sz w:val="24"/>
          <w:szCs w:val="24"/>
        </w:rPr>
        <w:t>”), y disposiciones concordantes, IBI Lion SOCIMI, S.A. (la “</w:t>
      </w:r>
      <w:r w:rsidRPr="005309E6">
        <w:rPr>
          <w:rFonts w:ascii="Arial Narrow" w:hAnsi="Arial Narrow"/>
          <w:b/>
          <w:bCs/>
          <w:sz w:val="24"/>
          <w:szCs w:val="24"/>
        </w:rPr>
        <w:t>Sociedad</w:t>
      </w:r>
      <w:r w:rsidRPr="005309E6">
        <w:rPr>
          <w:rFonts w:ascii="Arial Narrow" w:hAnsi="Arial Narrow"/>
          <w:sz w:val="24"/>
          <w:szCs w:val="24"/>
        </w:rPr>
        <w:t>”) comunica la siguiente</w:t>
      </w:r>
    </w:p>
    <w:p w14:paraId="163EE536" w14:textId="77777777" w:rsidR="001A1BFD" w:rsidRPr="005309E6" w:rsidRDefault="001A1BFD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65594CBC" w14:textId="37CE52B8" w:rsidR="00945324" w:rsidRPr="005309E6" w:rsidRDefault="00D5494F" w:rsidP="00F95D15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OTRA </w:t>
      </w:r>
      <w:r w:rsidR="00A33947">
        <w:rPr>
          <w:rFonts w:ascii="Arial Narrow" w:hAnsi="Arial Narrow"/>
          <w:b/>
          <w:bCs/>
          <w:sz w:val="24"/>
          <w:szCs w:val="24"/>
        </w:rPr>
        <w:t xml:space="preserve">INFORMACIÓN </w:t>
      </w:r>
      <w:r>
        <w:rPr>
          <w:rFonts w:ascii="Arial Narrow" w:hAnsi="Arial Narrow"/>
          <w:b/>
          <w:bCs/>
          <w:sz w:val="24"/>
          <w:szCs w:val="24"/>
        </w:rPr>
        <w:t>RELEVANTE</w:t>
      </w:r>
    </w:p>
    <w:p w14:paraId="2545FF5C" w14:textId="668AAAB2" w:rsidR="00ED376B" w:rsidRDefault="000D436D" w:rsidP="009F29BB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0D436D">
        <w:rPr>
          <w:rFonts w:ascii="Arial Narrow" w:hAnsi="Arial Narrow"/>
          <w:sz w:val="24"/>
          <w:szCs w:val="24"/>
        </w:rPr>
        <w:t xml:space="preserve">IBI Lion </w:t>
      </w:r>
      <w:r w:rsidR="008817E4">
        <w:rPr>
          <w:rFonts w:ascii="Arial Narrow" w:hAnsi="Arial Narrow"/>
          <w:sz w:val="24"/>
          <w:szCs w:val="24"/>
        </w:rPr>
        <w:t>Santa</w:t>
      </w:r>
      <w:r w:rsidRPr="000D436D">
        <w:rPr>
          <w:rFonts w:ascii="Arial Narrow" w:hAnsi="Arial Narrow"/>
          <w:sz w:val="24"/>
          <w:szCs w:val="24"/>
        </w:rPr>
        <w:t xml:space="preserve"> S.L.U.</w:t>
      </w:r>
      <w:r w:rsidR="00481149" w:rsidRPr="00481149">
        <w:rPr>
          <w:rFonts w:ascii="Arial Narrow" w:hAnsi="Arial Narrow"/>
          <w:sz w:val="24"/>
          <w:szCs w:val="24"/>
        </w:rPr>
        <w:t xml:space="preserve">, filial íntegramente participada por la Sociedad, ha </w:t>
      </w:r>
      <w:r w:rsidR="00ED376B">
        <w:rPr>
          <w:rFonts w:ascii="Arial Narrow" w:hAnsi="Arial Narrow"/>
          <w:sz w:val="24"/>
          <w:szCs w:val="24"/>
        </w:rPr>
        <w:t xml:space="preserve">transmitido dos de las </w:t>
      </w:r>
      <w:r w:rsidR="00521E77">
        <w:rPr>
          <w:rFonts w:ascii="Arial Narrow" w:hAnsi="Arial Narrow"/>
          <w:sz w:val="24"/>
          <w:szCs w:val="24"/>
        </w:rPr>
        <w:t>siete sucursales bancarias de las que es titular</w:t>
      </w:r>
      <w:r w:rsidR="001A1536">
        <w:rPr>
          <w:rFonts w:ascii="Arial Narrow" w:hAnsi="Arial Narrow"/>
          <w:sz w:val="24"/>
          <w:szCs w:val="24"/>
        </w:rPr>
        <w:t>. Se trata de las localizadas en Toledo, en calle</w:t>
      </w:r>
      <w:r w:rsidR="001A1536" w:rsidRPr="001A1536">
        <w:rPr>
          <w:rFonts w:ascii="Arial Narrow" w:hAnsi="Arial Narrow"/>
          <w:sz w:val="24"/>
          <w:szCs w:val="24"/>
        </w:rPr>
        <w:t xml:space="preserve"> Duque de Ahumada nº 4</w:t>
      </w:r>
      <w:r w:rsidR="001A1536">
        <w:rPr>
          <w:rFonts w:ascii="Arial Narrow" w:hAnsi="Arial Narrow"/>
          <w:sz w:val="24"/>
          <w:szCs w:val="24"/>
        </w:rPr>
        <w:t xml:space="preserve">, y en </w:t>
      </w:r>
      <w:r w:rsidR="001A1536" w:rsidRPr="001A1536">
        <w:rPr>
          <w:rFonts w:ascii="Arial Narrow" w:hAnsi="Arial Narrow"/>
          <w:sz w:val="24"/>
          <w:szCs w:val="24"/>
        </w:rPr>
        <w:t>Don Benito (Badajoz)</w:t>
      </w:r>
      <w:r w:rsidR="001A1536">
        <w:rPr>
          <w:rFonts w:ascii="Arial Narrow" w:hAnsi="Arial Narrow"/>
          <w:sz w:val="24"/>
          <w:szCs w:val="24"/>
        </w:rPr>
        <w:t xml:space="preserve">, en calle </w:t>
      </w:r>
      <w:r w:rsidR="001A1536" w:rsidRPr="001A1536">
        <w:rPr>
          <w:rFonts w:ascii="Arial Narrow" w:hAnsi="Arial Narrow"/>
          <w:sz w:val="24"/>
          <w:szCs w:val="24"/>
        </w:rPr>
        <w:t>Groizard, 4</w:t>
      </w:r>
      <w:r w:rsidR="001A1536">
        <w:rPr>
          <w:rFonts w:ascii="Arial Narrow" w:hAnsi="Arial Narrow"/>
          <w:sz w:val="24"/>
          <w:szCs w:val="24"/>
        </w:rPr>
        <w:t xml:space="preserve">, por </w:t>
      </w:r>
      <w:r w:rsidR="00F05E9A">
        <w:rPr>
          <w:rFonts w:ascii="Arial Narrow" w:hAnsi="Arial Narrow"/>
          <w:sz w:val="24"/>
          <w:szCs w:val="24"/>
        </w:rPr>
        <w:t xml:space="preserve">un precio de </w:t>
      </w:r>
      <w:r w:rsidR="009F29BB" w:rsidRPr="009F29BB">
        <w:rPr>
          <w:rFonts w:ascii="Arial Narrow" w:hAnsi="Arial Narrow"/>
          <w:sz w:val="24"/>
          <w:szCs w:val="24"/>
        </w:rPr>
        <w:t>1.488.768</w:t>
      </w:r>
      <w:r w:rsidR="009F29BB">
        <w:rPr>
          <w:rFonts w:ascii="Arial Narrow" w:hAnsi="Arial Narrow"/>
          <w:sz w:val="24"/>
          <w:szCs w:val="24"/>
        </w:rPr>
        <w:t xml:space="preserve"> euros y </w:t>
      </w:r>
      <w:r w:rsidR="009F29BB" w:rsidRPr="009F29BB">
        <w:rPr>
          <w:rFonts w:ascii="Arial Narrow" w:hAnsi="Arial Narrow"/>
          <w:sz w:val="24"/>
          <w:szCs w:val="24"/>
        </w:rPr>
        <w:t>1.673.936</w:t>
      </w:r>
      <w:r w:rsidR="009F29BB">
        <w:rPr>
          <w:rFonts w:ascii="Arial Narrow" w:hAnsi="Arial Narrow"/>
          <w:sz w:val="24"/>
          <w:szCs w:val="24"/>
        </w:rPr>
        <w:t xml:space="preserve"> euros, respectivamente. </w:t>
      </w:r>
    </w:p>
    <w:p w14:paraId="60981F90" w14:textId="566636D1" w:rsidR="001A1BFD" w:rsidRPr="005309E6" w:rsidRDefault="00945324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309E6">
        <w:rPr>
          <w:rFonts w:ascii="Arial Narrow" w:hAnsi="Arial Narrow"/>
          <w:sz w:val="24"/>
          <w:szCs w:val="24"/>
        </w:rPr>
        <w:t xml:space="preserve">De conformidad con lo dispuesto en la Circular 3/2020 de BME Growth, se hace constar que la información comunicada por la presente ha sido elaborada bajo la exclusiva responsabilidad de la Sociedad y sus administradores. </w:t>
      </w:r>
    </w:p>
    <w:p w14:paraId="50E6921E" w14:textId="77777777" w:rsidR="001A1BFD" w:rsidRPr="005309E6" w:rsidRDefault="001A1BFD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5C07E225" w14:textId="581C0611" w:rsidR="001A1BFD" w:rsidRPr="005309E6" w:rsidRDefault="00945324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309E6">
        <w:rPr>
          <w:rFonts w:ascii="Arial Narrow" w:hAnsi="Arial Narrow"/>
          <w:sz w:val="24"/>
          <w:szCs w:val="24"/>
        </w:rPr>
        <w:t xml:space="preserve">En Madrid, a </w:t>
      </w:r>
      <w:r w:rsidR="00A12623">
        <w:rPr>
          <w:rFonts w:ascii="Arial Narrow" w:hAnsi="Arial Narrow"/>
          <w:sz w:val="24"/>
          <w:szCs w:val="24"/>
        </w:rPr>
        <w:t>14</w:t>
      </w:r>
      <w:r w:rsidRPr="005309E6">
        <w:rPr>
          <w:rFonts w:ascii="Arial Narrow" w:hAnsi="Arial Narrow"/>
          <w:sz w:val="24"/>
          <w:szCs w:val="24"/>
        </w:rPr>
        <w:t xml:space="preserve"> de </w:t>
      </w:r>
      <w:r w:rsidR="005F7D57">
        <w:rPr>
          <w:rFonts w:ascii="Arial Narrow" w:hAnsi="Arial Narrow"/>
          <w:sz w:val="24"/>
          <w:szCs w:val="24"/>
        </w:rPr>
        <w:t>enero</w:t>
      </w:r>
      <w:r w:rsidRPr="005309E6">
        <w:rPr>
          <w:rFonts w:ascii="Arial Narrow" w:hAnsi="Arial Narrow"/>
          <w:sz w:val="24"/>
          <w:szCs w:val="24"/>
        </w:rPr>
        <w:t xml:space="preserve"> de </w:t>
      </w:r>
      <w:r w:rsidR="00354464">
        <w:rPr>
          <w:rFonts w:ascii="Arial Narrow" w:hAnsi="Arial Narrow"/>
          <w:sz w:val="24"/>
          <w:szCs w:val="24"/>
        </w:rPr>
        <w:t>2026</w:t>
      </w:r>
    </w:p>
    <w:p w14:paraId="3152D315" w14:textId="77777777" w:rsidR="001A1BFD" w:rsidRPr="005309E6" w:rsidRDefault="001A1BFD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626949CD" w14:textId="38806942" w:rsidR="001A1BFD" w:rsidRPr="005309E6" w:rsidRDefault="00945324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309E6">
        <w:rPr>
          <w:rFonts w:ascii="Arial Narrow" w:hAnsi="Arial Narrow"/>
          <w:sz w:val="24"/>
          <w:szCs w:val="24"/>
        </w:rPr>
        <w:t xml:space="preserve">D. Rafael Goldfeld </w:t>
      </w:r>
    </w:p>
    <w:p w14:paraId="40C45E38" w14:textId="1B208515" w:rsidR="00A728F0" w:rsidRPr="008C5385" w:rsidRDefault="00945324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309E6">
        <w:rPr>
          <w:rFonts w:ascii="Arial Narrow" w:hAnsi="Arial Narrow"/>
          <w:sz w:val="24"/>
          <w:szCs w:val="24"/>
        </w:rPr>
        <w:t>Secretario miembro del consejo de administración</w:t>
      </w:r>
    </w:p>
    <w:p w14:paraId="4A842152" w14:textId="77777777" w:rsidR="00A728F0" w:rsidRPr="005309E6" w:rsidRDefault="00A728F0" w:rsidP="00F95D15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728631DB" w14:textId="18DF1FD2" w:rsidR="00E83346" w:rsidRDefault="00E8334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01C1522C" w14:textId="4CADC7CF" w:rsidR="005309E6" w:rsidRPr="005309E6" w:rsidRDefault="005309E6" w:rsidP="00F95D15">
      <w:pPr>
        <w:spacing w:before="120" w:after="120"/>
        <w:jc w:val="both"/>
        <w:rPr>
          <w:rFonts w:ascii="Arial Narrow" w:hAnsi="Arial Narrow"/>
          <w:i/>
          <w:iCs/>
          <w:sz w:val="24"/>
          <w:szCs w:val="24"/>
          <w:lang w:val="en-US"/>
        </w:rPr>
      </w:pPr>
      <w:r w:rsidRPr="005309E6">
        <w:rPr>
          <w:rFonts w:ascii="Arial Narrow" w:hAnsi="Arial Narrow"/>
          <w:sz w:val="24"/>
          <w:szCs w:val="24"/>
          <w:lang w:val="en-US"/>
        </w:rPr>
        <w:lastRenderedPageBreak/>
        <w:t>In accordance with the provisions of article 228 of Law 6/2023, of 17 March, on the Securities Market and Investment Services and Circular 3/2020 of the BME Growth trading segment of BME MTF Equity (“</w:t>
      </w:r>
      <w:r w:rsidRPr="0082796E">
        <w:rPr>
          <w:rFonts w:ascii="Arial Narrow" w:hAnsi="Arial Narrow"/>
          <w:b/>
          <w:bCs/>
          <w:sz w:val="24"/>
          <w:szCs w:val="24"/>
          <w:lang w:val="en-US"/>
        </w:rPr>
        <w:t>BME Growth</w:t>
      </w:r>
      <w:r w:rsidRPr="005309E6">
        <w:rPr>
          <w:rFonts w:ascii="Arial Narrow" w:hAnsi="Arial Narrow"/>
          <w:sz w:val="24"/>
          <w:szCs w:val="24"/>
          <w:lang w:val="en-US"/>
        </w:rPr>
        <w:t xml:space="preserve">”), and ancillary regulations, IBI Lion SOCIMI, S.A. (the “Company”) hereby informs of the following </w:t>
      </w:r>
    </w:p>
    <w:p w14:paraId="152911F8" w14:textId="77777777" w:rsidR="005309E6" w:rsidRPr="005309E6" w:rsidRDefault="005309E6" w:rsidP="00F95D15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</w:p>
    <w:p w14:paraId="022C8574" w14:textId="7CD76C97" w:rsidR="005309E6" w:rsidRPr="005309E6" w:rsidRDefault="009B3DD3" w:rsidP="00174076">
      <w:pPr>
        <w:spacing w:before="120" w:after="12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OTHER RELEVANT</w:t>
      </w:r>
      <w:r w:rsidR="005309E6" w:rsidRPr="005309E6">
        <w:rPr>
          <w:rFonts w:ascii="Arial Narrow" w:hAnsi="Arial Narrow"/>
          <w:b/>
          <w:bCs/>
          <w:sz w:val="24"/>
          <w:szCs w:val="24"/>
          <w:lang w:val="en-US"/>
        </w:rPr>
        <w:t xml:space="preserve"> INFORMATION</w:t>
      </w:r>
    </w:p>
    <w:p w14:paraId="5FCB26D7" w14:textId="6788AFFC" w:rsidR="00354464" w:rsidRPr="00432E72" w:rsidRDefault="00354464" w:rsidP="00354464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  <w:r w:rsidRPr="00354464">
        <w:rPr>
          <w:rFonts w:ascii="Arial Narrow" w:hAnsi="Arial Narrow"/>
          <w:sz w:val="24"/>
          <w:szCs w:val="24"/>
          <w:lang w:val="en-US"/>
        </w:rPr>
        <w:t xml:space="preserve">IBI Lion Santa S.L.U., </w:t>
      </w:r>
      <w:r w:rsidRPr="00994694">
        <w:rPr>
          <w:rFonts w:ascii="Arial Narrow" w:hAnsi="Arial Narrow"/>
          <w:sz w:val="24"/>
          <w:szCs w:val="24"/>
          <w:lang w:val="en-US"/>
        </w:rPr>
        <w:t>a wholly owned subsidiary of the Company</w:t>
      </w:r>
      <w:r>
        <w:rPr>
          <w:rFonts w:ascii="Arial Narrow" w:hAnsi="Arial Narrow"/>
          <w:sz w:val="24"/>
          <w:szCs w:val="24"/>
          <w:lang w:val="en-US"/>
        </w:rPr>
        <w:t>, has transferred</w:t>
      </w:r>
      <w:r w:rsidR="00432E72">
        <w:rPr>
          <w:rFonts w:ascii="Arial Narrow" w:hAnsi="Arial Narrow"/>
          <w:sz w:val="24"/>
          <w:szCs w:val="24"/>
          <w:lang w:val="en-US"/>
        </w:rPr>
        <w:t xml:space="preserve"> two of the seven bank branches it holds. </w:t>
      </w:r>
      <w:r w:rsidR="00432E72" w:rsidRPr="00432E72">
        <w:rPr>
          <w:rFonts w:ascii="Arial Narrow" w:hAnsi="Arial Narrow"/>
          <w:sz w:val="24"/>
          <w:szCs w:val="24"/>
          <w:lang w:val="en-US"/>
        </w:rPr>
        <w:t>They are the ones located in Toledo, at calle Duque de Ahumada nº 4, and in Don Benito (Badajoz), at calle Groizard, 4, fo</w:t>
      </w:r>
      <w:r w:rsidR="00432E72">
        <w:rPr>
          <w:rFonts w:ascii="Arial Narrow" w:hAnsi="Arial Narrow"/>
          <w:sz w:val="24"/>
          <w:szCs w:val="24"/>
          <w:lang w:val="en-US"/>
        </w:rPr>
        <w:t xml:space="preserve">r a price of </w:t>
      </w:r>
      <w:r w:rsidR="00432E72" w:rsidRPr="00432E72">
        <w:rPr>
          <w:rFonts w:ascii="Arial Narrow" w:hAnsi="Arial Narrow"/>
          <w:sz w:val="24"/>
          <w:szCs w:val="24"/>
          <w:lang w:val="en-US"/>
        </w:rPr>
        <w:t>1</w:t>
      </w:r>
      <w:r w:rsidR="00432E72">
        <w:rPr>
          <w:rFonts w:ascii="Arial Narrow" w:hAnsi="Arial Narrow"/>
          <w:sz w:val="24"/>
          <w:szCs w:val="24"/>
          <w:lang w:val="en-US"/>
        </w:rPr>
        <w:t>,</w:t>
      </w:r>
      <w:r w:rsidR="00432E72" w:rsidRPr="00432E72">
        <w:rPr>
          <w:rFonts w:ascii="Arial Narrow" w:hAnsi="Arial Narrow"/>
          <w:sz w:val="24"/>
          <w:szCs w:val="24"/>
          <w:lang w:val="en-US"/>
        </w:rPr>
        <w:t>488</w:t>
      </w:r>
      <w:r w:rsidR="00432E72">
        <w:rPr>
          <w:rFonts w:ascii="Arial Narrow" w:hAnsi="Arial Narrow"/>
          <w:sz w:val="24"/>
          <w:szCs w:val="24"/>
          <w:lang w:val="en-US"/>
        </w:rPr>
        <w:t>,</w:t>
      </w:r>
      <w:r w:rsidR="00432E72" w:rsidRPr="00432E72">
        <w:rPr>
          <w:rFonts w:ascii="Arial Narrow" w:hAnsi="Arial Narrow"/>
          <w:sz w:val="24"/>
          <w:szCs w:val="24"/>
          <w:lang w:val="en-US"/>
        </w:rPr>
        <w:t xml:space="preserve">768 euros </w:t>
      </w:r>
      <w:r w:rsidR="00432E72">
        <w:rPr>
          <w:rFonts w:ascii="Arial Narrow" w:hAnsi="Arial Narrow"/>
          <w:sz w:val="24"/>
          <w:szCs w:val="24"/>
          <w:lang w:val="en-US"/>
        </w:rPr>
        <w:t>and</w:t>
      </w:r>
      <w:r w:rsidR="00432E72" w:rsidRPr="00432E72">
        <w:rPr>
          <w:rFonts w:ascii="Arial Narrow" w:hAnsi="Arial Narrow"/>
          <w:sz w:val="24"/>
          <w:szCs w:val="24"/>
          <w:lang w:val="en-US"/>
        </w:rPr>
        <w:t xml:space="preserve"> 1</w:t>
      </w:r>
      <w:r w:rsidR="00432E72">
        <w:rPr>
          <w:rFonts w:ascii="Arial Narrow" w:hAnsi="Arial Narrow"/>
          <w:sz w:val="24"/>
          <w:szCs w:val="24"/>
          <w:lang w:val="en-US"/>
        </w:rPr>
        <w:t>,</w:t>
      </w:r>
      <w:r w:rsidR="00432E72" w:rsidRPr="00432E72">
        <w:rPr>
          <w:rFonts w:ascii="Arial Narrow" w:hAnsi="Arial Narrow"/>
          <w:sz w:val="24"/>
          <w:szCs w:val="24"/>
          <w:lang w:val="en-US"/>
        </w:rPr>
        <w:t>673</w:t>
      </w:r>
      <w:r w:rsidR="00432E72">
        <w:rPr>
          <w:rFonts w:ascii="Arial Narrow" w:hAnsi="Arial Narrow"/>
          <w:sz w:val="24"/>
          <w:szCs w:val="24"/>
          <w:lang w:val="en-US"/>
        </w:rPr>
        <w:t>,</w:t>
      </w:r>
      <w:r w:rsidR="00432E72" w:rsidRPr="00432E72">
        <w:rPr>
          <w:rFonts w:ascii="Arial Narrow" w:hAnsi="Arial Narrow"/>
          <w:sz w:val="24"/>
          <w:szCs w:val="24"/>
          <w:lang w:val="en-US"/>
        </w:rPr>
        <w:t>936 euros, respecti</w:t>
      </w:r>
      <w:r w:rsidR="00432E72">
        <w:rPr>
          <w:rFonts w:ascii="Arial Narrow" w:hAnsi="Arial Narrow"/>
          <w:sz w:val="24"/>
          <w:szCs w:val="24"/>
          <w:lang w:val="en-US"/>
        </w:rPr>
        <w:t>vely</w:t>
      </w:r>
      <w:r w:rsidR="00432E72" w:rsidRPr="00432E72">
        <w:rPr>
          <w:rFonts w:ascii="Arial Narrow" w:hAnsi="Arial Narrow"/>
          <w:sz w:val="24"/>
          <w:szCs w:val="24"/>
          <w:lang w:val="en-US"/>
        </w:rPr>
        <w:t>.</w:t>
      </w:r>
    </w:p>
    <w:p w14:paraId="774367CE" w14:textId="0AB7C24D" w:rsidR="0082796E" w:rsidRDefault="005309E6" w:rsidP="00F95D15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  <w:r w:rsidRPr="005309E6">
        <w:rPr>
          <w:rFonts w:ascii="Arial Narrow" w:hAnsi="Arial Narrow"/>
          <w:sz w:val="24"/>
          <w:szCs w:val="24"/>
          <w:lang w:val="en-US"/>
        </w:rPr>
        <w:t xml:space="preserve">Pursuant to the provisions of Circular 3/2020 of BME Growth, it is hereby stated that the information provided herein has been prepared under the sole responsibility of the Company and its directors. </w:t>
      </w:r>
    </w:p>
    <w:p w14:paraId="78FAD4DA" w14:textId="77777777" w:rsidR="0082796E" w:rsidRDefault="0082796E" w:rsidP="00F95D15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</w:p>
    <w:p w14:paraId="3996FB6B" w14:textId="043ADC19" w:rsidR="0082796E" w:rsidRDefault="005309E6" w:rsidP="00F95D15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  <w:r w:rsidRPr="005309E6">
        <w:rPr>
          <w:rFonts w:ascii="Arial Narrow" w:hAnsi="Arial Narrow"/>
          <w:sz w:val="24"/>
          <w:szCs w:val="24"/>
          <w:lang w:val="en-US"/>
        </w:rPr>
        <w:t xml:space="preserve">In Madrid, on </w:t>
      </w:r>
      <w:r w:rsidR="00A12623">
        <w:rPr>
          <w:rFonts w:ascii="Arial Narrow" w:hAnsi="Arial Narrow"/>
          <w:sz w:val="24"/>
          <w:szCs w:val="24"/>
          <w:lang w:val="en-US"/>
        </w:rPr>
        <w:t>14</w:t>
      </w:r>
      <w:r w:rsidR="00432E72">
        <w:rPr>
          <w:rFonts w:ascii="Arial Narrow" w:hAnsi="Arial Narrow"/>
          <w:sz w:val="24"/>
          <w:szCs w:val="24"/>
          <w:lang w:val="en-US"/>
        </w:rPr>
        <w:t xml:space="preserve"> </w:t>
      </w:r>
      <w:r w:rsidR="00D14B41">
        <w:rPr>
          <w:rFonts w:ascii="Arial Narrow" w:hAnsi="Arial Narrow"/>
          <w:sz w:val="24"/>
          <w:szCs w:val="24"/>
          <w:lang w:val="en-US"/>
        </w:rPr>
        <w:t xml:space="preserve">January </w:t>
      </w:r>
      <w:r w:rsidR="00432E72">
        <w:rPr>
          <w:rFonts w:ascii="Arial Narrow" w:hAnsi="Arial Narrow"/>
          <w:sz w:val="24"/>
          <w:szCs w:val="24"/>
          <w:lang w:val="en-US"/>
        </w:rPr>
        <w:t>2026</w:t>
      </w:r>
    </w:p>
    <w:p w14:paraId="17E600B0" w14:textId="77777777" w:rsidR="0082796E" w:rsidRDefault="0082796E" w:rsidP="00F95D15">
      <w:pPr>
        <w:spacing w:before="120" w:after="120"/>
        <w:jc w:val="both"/>
        <w:rPr>
          <w:rFonts w:ascii="Arial Narrow" w:hAnsi="Arial Narrow"/>
          <w:sz w:val="24"/>
          <w:szCs w:val="24"/>
          <w:lang w:val="en-US"/>
        </w:rPr>
      </w:pPr>
    </w:p>
    <w:p w14:paraId="2F7162CB" w14:textId="49C4A475" w:rsidR="0082796E" w:rsidRDefault="005309E6" w:rsidP="00F95D15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5309E6">
        <w:rPr>
          <w:rFonts w:ascii="Arial Narrow" w:hAnsi="Arial Narrow"/>
          <w:sz w:val="24"/>
          <w:szCs w:val="24"/>
          <w:lang w:val="en-US"/>
        </w:rPr>
        <w:t xml:space="preserve">Mr. Rafael Goldfeld </w:t>
      </w:r>
    </w:p>
    <w:p w14:paraId="589CB5D6" w14:textId="71AAB482" w:rsidR="0082796E" w:rsidRDefault="005309E6" w:rsidP="00F95D15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5309E6">
        <w:rPr>
          <w:rFonts w:ascii="Arial Narrow" w:hAnsi="Arial Narrow"/>
          <w:sz w:val="24"/>
          <w:szCs w:val="24"/>
          <w:lang w:val="en-US"/>
        </w:rPr>
        <w:t xml:space="preserve">Secretary and member of the board of directors </w:t>
      </w:r>
    </w:p>
    <w:p w14:paraId="275C7F5A" w14:textId="1AEBBC17" w:rsidR="00A728F0" w:rsidRPr="00DA0FAB" w:rsidRDefault="00A728F0" w:rsidP="00F95D15">
      <w:pPr>
        <w:spacing w:before="120" w:after="120"/>
        <w:jc w:val="both"/>
        <w:rPr>
          <w:rFonts w:ascii="Arial Narrow" w:hAnsi="Arial Narrow"/>
          <w:i/>
          <w:iCs/>
          <w:sz w:val="24"/>
          <w:szCs w:val="24"/>
          <w:lang w:val="en-US"/>
        </w:rPr>
      </w:pPr>
    </w:p>
    <w:sectPr w:rsidR="00A728F0" w:rsidRPr="00DA0FAB" w:rsidSect="00F95D15">
      <w:headerReference w:type="default" r:id="rId9"/>
      <w:pgSz w:w="11906" w:h="16838"/>
      <w:pgMar w:top="28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9C82" w14:textId="77777777" w:rsidR="00405578" w:rsidRDefault="00405578" w:rsidP="00F95D15">
      <w:pPr>
        <w:spacing w:after="0" w:line="240" w:lineRule="auto"/>
      </w:pPr>
      <w:r>
        <w:separator/>
      </w:r>
    </w:p>
  </w:endnote>
  <w:endnote w:type="continuationSeparator" w:id="0">
    <w:p w14:paraId="0A887A98" w14:textId="77777777" w:rsidR="00405578" w:rsidRDefault="00405578" w:rsidP="00F95D15">
      <w:pPr>
        <w:spacing w:after="0" w:line="240" w:lineRule="auto"/>
      </w:pPr>
      <w:r>
        <w:continuationSeparator/>
      </w:r>
    </w:p>
  </w:endnote>
  <w:endnote w:type="continuationNotice" w:id="1">
    <w:p w14:paraId="47132956" w14:textId="77777777" w:rsidR="00405578" w:rsidRDefault="004055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8671" w14:textId="77777777" w:rsidR="00405578" w:rsidRDefault="00405578" w:rsidP="00F95D15">
      <w:pPr>
        <w:spacing w:after="0" w:line="240" w:lineRule="auto"/>
      </w:pPr>
      <w:r>
        <w:separator/>
      </w:r>
    </w:p>
  </w:footnote>
  <w:footnote w:type="continuationSeparator" w:id="0">
    <w:p w14:paraId="2454981E" w14:textId="77777777" w:rsidR="00405578" w:rsidRDefault="00405578" w:rsidP="00F95D15">
      <w:pPr>
        <w:spacing w:after="0" w:line="240" w:lineRule="auto"/>
      </w:pPr>
      <w:r>
        <w:continuationSeparator/>
      </w:r>
    </w:p>
  </w:footnote>
  <w:footnote w:type="continuationNotice" w:id="1">
    <w:p w14:paraId="63CAEF9E" w14:textId="77777777" w:rsidR="00405578" w:rsidRDefault="004055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581E" w14:textId="3A0B67DE" w:rsidR="00F95D15" w:rsidRDefault="00F95D1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29C915A" wp14:editId="72A12DAA">
          <wp:simplePos x="0" y="0"/>
          <wp:positionH relativeFrom="margin">
            <wp:align>center</wp:align>
          </wp:positionH>
          <wp:positionV relativeFrom="page">
            <wp:posOffset>496930</wp:posOffset>
          </wp:positionV>
          <wp:extent cx="1513840" cy="959486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840" cy="959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2F"/>
    <w:rsid w:val="00045A6A"/>
    <w:rsid w:val="00064037"/>
    <w:rsid w:val="00093EDB"/>
    <w:rsid w:val="000D436D"/>
    <w:rsid w:val="00143523"/>
    <w:rsid w:val="00174076"/>
    <w:rsid w:val="00182EFE"/>
    <w:rsid w:val="00196ADC"/>
    <w:rsid w:val="001A1536"/>
    <w:rsid w:val="001A1BFD"/>
    <w:rsid w:val="001D3E35"/>
    <w:rsid w:val="00245D2D"/>
    <w:rsid w:val="002650F4"/>
    <w:rsid w:val="002651EA"/>
    <w:rsid w:val="00354464"/>
    <w:rsid w:val="0036604B"/>
    <w:rsid w:val="00371474"/>
    <w:rsid w:val="00384632"/>
    <w:rsid w:val="003E2A47"/>
    <w:rsid w:val="00405578"/>
    <w:rsid w:val="00432E72"/>
    <w:rsid w:val="00481149"/>
    <w:rsid w:val="004C361A"/>
    <w:rsid w:val="00517566"/>
    <w:rsid w:val="00521E77"/>
    <w:rsid w:val="0052331C"/>
    <w:rsid w:val="00524EE6"/>
    <w:rsid w:val="005309E6"/>
    <w:rsid w:val="00531034"/>
    <w:rsid w:val="00590283"/>
    <w:rsid w:val="005F7D57"/>
    <w:rsid w:val="006150FB"/>
    <w:rsid w:val="00626AE5"/>
    <w:rsid w:val="00656095"/>
    <w:rsid w:val="00760C0F"/>
    <w:rsid w:val="007C2982"/>
    <w:rsid w:val="007D06FA"/>
    <w:rsid w:val="007D7740"/>
    <w:rsid w:val="007F6BBB"/>
    <w:rsid w:val="0082796E"/>
    <w:rsid w:val="008817E4"/>
    <w:rsid w:val="008906C8"/>
    <w:rsid w:val="008A29C7"/>
    <w:rsid w:val="008C5385"/>
    <w:rsid w:val="008D5568"/>
    <w:rsid w:val="008F2234"/>
    <w:rsid w:val="009048E0"/>
    <w:rsid w:val="00945324"/>
    <w:rsid w:val="00961B08"/>
    <w:rsid w:val="00994694"/>
    <w:rsid w:val="009A072F"/>
    <w:rsid w:val="009A1613"/>
    <w:rsid w:val="009B3DD3"/>
    <w:rsid w:val="009F29BB"/>
    <w:rsid w:val="00A12623"/>
    <w:rsid w:val="00A33947"/>
    <w:rsid w:val="00A728F0"/>
    <w:rsid w:val="00AA574E"/>
    <w:rsid w:val="00B256CA"/>
    <w:rsid w:val="00B8598E"/>
    <w:rsid w:val="00BB5F9C"/>
    <w:rsid w:val="00C232BD"/>
    <w:rsid w:val="00C47791"/>
    <w:rsid w:val="00C93DF8"/>
    <w:rsid w:val="00CA546B"/>
    <w:rsid w:val="00CB1DA5"/>
    <w:rsid w:val="00CD2D70"/>
    <w:rsid w:val="00CD53E8"/>
    <w:rsid w:val="00CE605C"/>
    <w:rsid w:val="00D01EBE"/>
    <w:rsid w:val="00D14B41"/>
    <w:rsid w:val="00D158D0"/>
    <w:rsid w:val="00D22154"/>
    <w:rsid w:val="00D33CD4"/>
    <w:rsid w:val="00D5494F"/>
    <w:rsid w:val="00D55263"/>
    <w:rsid w:val="00DA0FAB"/>
    <w:rsid w:val="00DE2810"/>
    <w:rsid w:val="00E57701"/>
    <w:rsid w:val="00E57EFC"/>
    <w:rsid w:val="00E83346"/>
    <w:rsid w:val="00EB0965"/>
    <w:rsid w:val="00ED376B"/>
    <w:rsid w:val="00F05E9A"/>
    <w:rsid w:val="00F11DC2"/>
    <w:rsid w:val="00F561DD"/>
    <w:rsid w:val="00F566E8"/>
    <w:rsid w:val="00F95D15"/>
    <w:rsid w:val="00FC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1499C"/>
  <w15:chartTrackingRefBased/>
  <w15:docId w15:val="{818AC667-5521-49D0-9304-33A8E2CC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D06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5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D15"/>
  </w:style>
  <w:style w:type="paragraph" w:styleId="Footer">
    <w:name w:val="footer"/>
    <w:basedOn w:val="Normal"/>
    <w:link w:val="FooterChar"/>
    <w:uiPriority w:val="99"/>
    <w:unhideWhenUsed/>
    <w:rsid w:val="00F95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4B09C320961D44A66F12AA009C29B7" ma:contentTypeVersion="18" ma:contentTypeDescription="Crear nuevo documento." ma:contentTypeScope="" ma:versionID="9e6cfbf44713368ebe7af10ff77d95fb">
  <xsd:schema xmlns:xsd="http://www.w3.org/2001/XMLSchema" xmlns:xs="http://www.w3.org/2001/XMLSchema" xmlns:p="http://schemas.microsoft.com/office/2006/metadata/properties" xmlns:ns1="http://schemas.microsoft.com/sharepoint/v3" xmlns:ns2="15f7f9b7-a589-4160-a763-931a78ff2558" xmlns:ns3="da804bb3-b6fc-456a-bdcc-1a57ff122861" targetNamespace="http://schemas.microsoft.com/office/2006/metadata/properties" ma:root="true" ma:fieldsID="4a00147580404f66d020d9182aa03ad5" ns1:_="" ns2:_="" ns3:_="">
    <xsd:import namespace="http://schemas.microsoft.com/sharepoint/v3"/>
    <xsd:import namespace="15f7f9b7-a589-4160-a763-931a78ff2558"/>
    <xsd:import namespace="da804bb3-b6fc-456a-bdcc-1a57ff122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f9b7-a589-4160-a763-931a78ff2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4bb3-b6fc-456a-bdcc-1a57ff1228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f17e5f-48fd-4a14-8ff9-fa557a54bdeb}" ma:internalName="TaxCatchAll" ma:showField="CatchAllData" ma:web="da804bb3-b6fc-456a-bdcc-1a57ff122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7f9b7-a589-4160-a763-931a78ff2558">
      <Terms xmlns="http://schemas.microsoft.com/office/infopath/2007/PartnerControls"/>
    </lcf76f155ced4ddcb4097134ff3c332f>
    <TaxCatchAll xmlns="da804bb3-b6fc-456a-bdcc-1a57ff12286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B1AE81-5F89-449D-9ED7-85DD06CE5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f7f9b7-a589-4160-a763-931a78ff2558"/>
    <ds:schemaRef ds:uri="da804bb3-b6fc-456a-bdcc-1a57ff122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70786-97B9-429A-9FA5-09F0A8048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CF2D8-F258-4809-9B4F-EAC6883810F8}">
  <ds:schemaRefs>
    <ds:schemaRef ds:uri="http://schemas.microsoft.com/office/2006/metadata/properties"/>
    <ds:schemaRef ds:uri="http://schemas.microsoft.com/office/infopath/2007/PartnerControls"/>
    <ds:schemaRef ds:uri="15f7f9b7-a589-4160-a763-931a78ff2558"/>
    <ds:schemaRef ds:uri="da804bb3-b6fc-456a-bdcc-1a57ff122861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Garcia, Carla</dc:creator>
  <cp:keywords/>
  <dc:description/>
  <cp:lastModifiedBy>KPMG</cp:lastModifiedBy>
  <cp:revision>64</cp:revision>
  <dcterms:created xsi:type="dcterms:W3CDTF">2024-10-04T11:41:00Z</dcterms:created>
  <dcterms:modified xsi:type="dcterms:W3CDTF">2026-01-14T09:40:00Z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0x0101005B4B09C320961D44A66F12AA009C29B7</vt:lpwstr>
  </property>
  <property fmtid="{D5CDD505-2E9C-101B-9397-08002B2CF9AE}" pid="3" name="MediaServiceImageTags">
    <vt:lpwstr/>
  </property>
</Properties>
</file>